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思源宋体 CN Light" w:hAnsi="思源宋体 CN Light" w:eastAsia="思源宋体 CN Light" w:cs="思源宋体 CN Light"/>
        </w:rPr>
      </w:pPr>
    </w:p>
    <w:p>
      <w:pPr>
        <w:pStyle w:val="2"/>
        <w:rPr>
          <w:rFonts w:hint="eastAsia" w:ascii="思源宋体 CN Light" w:hAnsi="思源宋体 CN Light" w:eastAsia="思源宋体 CN Light" w:cs="思源宋体 CN Light"/>
        </w:rPr>
      </w:pPr>
    </w:p>
    <w:p>
      <w:pPr>
        <w:pStyle w:val="2"/>
        <w:rPr>
          <w:rFonts w:hint="eastAsia" w:ascii="思源宋体 CN Light" w:hAnsi="思源宋体 CN Light" w:eastAsia="思源宋体 CN Light" w:cs="思源宋体 CN Light"/>
        </w:rPr>
      </w:pPr>
    </w:p>
    <w:p>
      <w:pPr>
        <w:pStyle w:val="2"/>
        <w:rPr>
          <w:rFonts w:hint="eastAsia" w:ascii="思源宋体 CN Light" w:hAnsi="思源宋体 CN Light" w:eastAsia="思源宋体 CN Light" w:cs="思源宋体 CN Light"/>
        </w:rPr>
      </w:pPr>
    </w:p>
    <w:p>
      <w:pPr>
        <w:pStyle w:val="2"/>
        <w:rPr>
          <w:rFonts w:hint="eastAsia" w:ascii="思源宋体 CN Light" w:hAnsi="思源宋体 CN Light" w:eastAsia="思源宋体 CN Light" w:cs="思源宋体 CN Light"/>
        </w:rPr>
      </w:pPr>
    </w:p>
    <w:p>
      <w:pPr>
        <w:pStyle w:val="2"/>
        <w:rPr>
          <w:rFonts w:hint="eastAsia" w:ascii="思源宋体 CN Light" w:hAnsi="思源宋体 CN Light" w:eastAsia="思源宋体 CN Light" w:cs="思源宋体 CN Light"/>
        </w:rPr>
      </w:pPr>
    </w:p>
    <w:p>
      <w:pPr>
        <w:pStyle w:val="2"/>
        <w:rPr>
          <w:rFonts w:hint="eastAsia" w:ascii="思源宋体 CN Light" w:hAnsi="思源宋体 CN Light" w:eastAsia="思源宋体 CN Light" w:cs="思源宋体 CN Light"/>
        </w:rPr>
      </w:pPr>
    </w:p>
    <w:p>
      <w:pPr>
        <w:pStyle w:val="2"/>
        <w:rPr>
          <w:rFonts w:hint="eastAsia" w:ascii="思源宋体 CN Light" w:hAnsi="思源宋体 CN Light" w:eastAsia="思源宋体 CN Light" w:cs="思源宋体 CN Light"/>
        </w:rPr>
      </w:pPr>
    </w:p>
    <w:p>
      <w:pPr>
        <w:pStyle w:val="2"/>
        <w:rPr>
          <w:rFonts w:hint="eastAsia" w:ascii="思源宋体 CN Light" w:hAnsi="思源宋体 CN Light" w:eastAsia="思源宋体 CN Light" w:cs="思源宋体 CN Light"/>
        </w:rPr>
      </w:pPr>
    </w:p>
    <w:p>
      <w:pPr>
        <w:pStyle w:val="2"/>
        <w:rPr>
          <w:rFonts w:hint="eastAsia" w:ascii="思源宋体 CN Light" w:hAnsi="思源宋体 CN Light" w:eastAsia="思源宋体 CN Light" w:cs="思源宋体 CN Light"/>
        </w:rPr>
      </w:pPr>
    </w:p>
    <w:p>
      <w:pPr>
        <w:pStyle w:val="2"/>
        <w:rPr>
          <w:rFonts w:hint="eastAsia" w:ascii="思源宋体 CN Light" w:hAnsi="思源宋体 CN Light" w:eastAsia="思源宋体 CN Light" w:cs="思源宋体 CN Light"/>
        </w:rPr>
      </w:pPr>
    </w:p>
    <w:p>
      <w:pPr>
        <w:pStyle w:val="2"/>
        <w:rPr>
          <w:rFonts w:hint="eastAsia" w:ascii="思源宋体 CN Light" w:hAnsi="思源宋体 CN Light" w:eastAsia="思源宋体 CN Light" w:cs="思源宋体 CN Light"/>
        </w:rPr>
      </w:pPr>
    </w:p>
    <w:p>
      <w:pPr>
        <w:pStyle w:val="2"/>
        <w:rPr>
          <w:rFonts w:hint="eastAsia" w:ascii="思源宋体 CN Light" w:hAnsi="思源宋体 CN Light" w:eastAsia="思源宋体 CN Light" w:cs="思源宋体 CN Light"/>
        </w:rPr>
      </w:pPr>
    </w:p>
    <w:p>
      <w:pPr>
        <w:pStyle w:val="2"/>
        <w:rPr>
          <w:rFonts w:hint="eastAsia" w:ascii="思源宋体 CN Light" w:hAnsi="思源宋体 CN Light" w:eastAsia="思源宋体 CN Light" w:cs="思源宋体 CN Light"/>
        </w:rPr>
      </w:pPr>
    </w:p>
    <w:p>
      <w:pPr>
        <w:pStyle w:val="2"/>
        <w:rPr>
          <w:rFonts w:hint="eastAsia" w:ascii="思源宋体 CN Light" w:hAnsi="思源宋体 CN Light" w:eastAsia="思源宋体 CN Light" w:cs="思源宋体 CN Light"/>
        </w:rPr>
      </w:pPr>
    </w:p>
    <w:p/>
    <w:p>
      <w:pPr>
        <w:pStyle w:val="2"/>
      </w:pPr>
    </w:p>
    <w:p/>
    <w:p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南昌不见面询标系统-代理注意事项</w:t>
      </w:r>
    </w:p>
    <w:p>
      <w:pPr>
        <w:pStyle w:val="2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pStyle w:val="2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pStyle w:val="2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pStyle w:val="2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pStyle w:val="2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pStyle w:val="2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pStyle w:val="2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pStyle w:val="2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b/>
          <w:bCs/>
          <w:sz w:val="48"/>
          <w:szCs w:val="4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b/>
          <w:bCs/>
          <w:sz w:val="48"/>
          <w:szCs w:val="4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b/>
          <w:bCs/>
          <w:sz w:val="48"/>
          <w:szCs w:val="48"/>
          <w:lang w:val="en-US" w:eastAsia="zh-CN"/>
        </w:rPr>
      </w:pPr>
      <w:bookmarkStart w:id="2" w:name="_GoBack"/>
      <w:bookmarkEnd w:id="2"/>
    </w:p>
    <w:p>
      <w:pPr>
        <w:pStyle w:val="3"/>
        <w:numPr>
          <w:ilvl w:val="0"/>
          <w:numId w:val="1"/>
        </w:numPr>
        <w:bidi w:val="0"/>
        <w:ind w:left="210" w:leftChars="0" w:firstLineChars="0"/>
        <w:rPr>
          <w:rFonts w:hint="eastAsia"/>
          <w:lang w:val="en-US" w:eastAsia="zh-CN"/>
        </w:rPr>
      </w:pPr>
      <w:bookmarkStart w:id="0" w:name="_Toc31904"/>
      <w:r>
        <w:rPr>
          <w:rFonts w:hint="eastAsia"/>
          <w:lang w:val="en-US" w:eastAsia="zh-CN"/>
        </w:rPr>
        <w:t>评标准备阶段</w:t>
      </w:r>
      <w:bookmarkEnd w:id="0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1、确定评委：如果是业主专家，则点击“新增评委”按钮，添加专家，其余专家点击“获取专家”名单按钮同步专家。</w:t>
      </w:r>
      <w:r>
        <w:rPr>
          <w:rFonts w:hint="eastAsia"/>
          <w:color w:val="FF0000"/>
          <w:lang w:val="en-US" w:eastAsia="zh-CN"/>
        </w:rPr>
        <w:t>（注：非业主专家通过新增方式获取评委可能影响后续询标，请谨慎操作）</w:t>
      </w:r>
    </w:p>
    <w:p>
      <w:pPr>
        <w:pStyle w:val="2"/>
      </w:pPr>
      <w:r>
        <w:drawing>
          <wp:inline distT="0" distB="0" distL="114300" distR="114300">
            <wp:extent cx="5262880" cy="2181860"/>
            <wp:effectExtent l="0" t="0" r="10160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ind w:left="210" w:leftChars="0" w:firstLineChars="0"/>
        <w:rPr>
          <w:rFonts w:hint="default"/>
          <w:lang w:val="en-US" w:eastAsia="zh-CN"/>
        </w:rPr>
      </w:pPr>
      <w:bookmarkStart w:id="1" w:name="_Toc22091"/>
      <w:r>
        <w:rPr>
          <w:rFonts w:hint="eastAsia"/>
          <w:lang w:val="en-US" w:eastAsia="zh-CN"/>
        </w:rPr>
        <w:t>评标阶段</w:t>
      </w:r>
      <w:bookmarkEnd w:id="1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1、代理在评标开始之前，登录不见面开标大厅，提醒投标人大致评标时间，提前在开标大厅等待，并检查</w:t>
      </w:r>
      <w:r>
        <w:rPr>
          <w:rFonts w:hint="default"/>
          <w:lang w:val="en-US" w:eastAsia="zh-CN"/>
        </w:rPr>
        <w:t>耳机、麦克风、摄像头</w:t>
      </w:r>
      <w:r>
        <w:rPr>
          <w:rFonts w:hint="eastAsia"/>
          <w:lang w:val="en-US" w:eastAsia="zh-CN"/>
        </w:rPr>
        <w:t>是否正常，网络是否稳定，谷歌浏览器是否安装好。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2、专家若已对投标人发起询标，则代理需登录不见面开标系统，在“互动留言”栏提醒投标人进入询标系统。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264785" cy="2638425"/>
            <wp:effectExtent l="0" t="0" r="8255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  <w:lang w:val="en-US" w:eastAsia="zh-CN"/>
        </w:rPr>
        <w:t>图2</w:t>
      </w:r>
    </w:p>
    <w:p>
      <w:pPr>
        <w:pStyle w:val="2"/>
        <w:ind w:left="0" w:leftChars="0" w:firstLine="0" w:firstLineChars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注：此处所指的“询标系统”是：投标人在不见面开标大厅点击右上角红点闪烁的“质询处理（Chrome）”，进入如下图4的视频会议系统。请代理提醒投标人，否则可能影响询标。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175885" cy="2390140"/>
            <wp:effectExtent l="0" t="0" r="5715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5885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  <w:t>图3-不见面开标大厅质询处理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4872355" cy="2362835"/>
            <wp:effectExtent l="0" t="0" r="4445" b="1460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2355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  <w:t>图4-询标系统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宋体 CN Light">
    <w:altName w:val="宋体"/>
    <w:panose1 w:val="02020300000000000000"/>
    <w:charset w:val="86"/>
    <w:family w:val="auto"/>
    <w:pitch w:val="default"/>
    <w:sig w:usb0="00000000" w:usb1="0000000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6BB11"/>
    <w:multiLevelType w:val="singleLevel"/>
    <w:tmpl w:val="75E6BB11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jM3MTUxMjE3NWU0YWY2YTJiODAwNjc5ZmNhMGQifQ=="/>
  </w:docVars>
  <w:rsids>
    <w:rsidRoot w:val="440D38C0"/>
    <w:rsid w:val="2681655F"/>
    <w:rsid w:val="2B1A3846"/>
    <w:rsid w:val="30683F9B"/>
    <w:rsid w:val="38897FF0"/>
    <w:rsid w:val="440D38C0"/>
    <w:rsid w:val="4AEF008B"/>
    <w:rsid w:val="51BE389E"/>
    <w:rsid w:val="5202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480" w:firstLineChars="200"/>
    </w:pPr>
    <w:rPr>
      <w:rFonts w:ascii="Calibri" w:hAnsi="Calibri" w:cs="宋体"/>
      <w:color w:val="000000"/>
      <w:szCs w:val="20"/>
    </w:rPr>
  </w:style>
  <w:style w:type="paragraph" w:styleId="4">
    <w:name w:val="toc 1"/>
    <w:basedOn w:val="1"/>
    <w:next w:val="1"/>
    <w:semiHidden/>
    <w:unhideWhenUsed/>
    <w:qFormat/>
    <w:uiPriority w:val="39"/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349</Characters>
  <Lines>0</Lines>
  <Paragraphs>0</Paragraphs>
  <TotalTime>8</TotalTime>
  <ScaleCrop>false</ScaleCrop>
  <LinksUpToDate>false</LinksUpToDate>
  <CharactersWithSpaces>349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2023-02-09T07:35:00Z</dcterms:created>
  <dc:creator>Epoint</dc:creator>
  <cp:lastModifiedBy>可可西里</cp:lastModifiedBy>
  <dcterms:modified xsi:type="dcterms:W3CDTF">2023-02-28T04:34:38Z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620B431C4C1246E5B348AB2B3CC5904A</vt:lpwstr>
  </property>
</Properties>
</file>